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numPr>
          <w:ilvl w:val="0"/>
          <w:numId w:val="1"/>
        </w:numPr>
        <w:bidi w:val="0"/>
        <w:spacing w:before="200" w:after="120"/>
        <w:ind w:hanging="0" w:start="0"/>
        <w:jc w:val="start"/>
        <w:rPr>
          <w:sz w:val="24"/>
          <w:szCs w:val="24"/>
        </w:rPr>
      </w:pPr>
      <w:r>
        <w:rPr>
          <w:sz w:val="24"/>
          <w:szCs w:val="24"/>
        </w:rPr>
        <w:t>Ochrana osobních údajů (GDPR)</w:t>
      </w:r>
    </w:p>
    <w:p>
      <w:pPr>
        <w:pStyle w:val="BodyText"/>
        <w:spacing w:before="200" w:after="120"/>
        <w:rPr/>
      </w:pPr>
      <w:r>
        <w:rPr/>
        <w:t>Vaše soukromí je pro nás důležité. V souladu s nařízením Evropského parlamentu a Rady (EU) 2016/679 (dále jen „</w:t>
      </w:r>
      <w:r>
        <w:rPr>
          <w:rStyle w:val="Strong"/>
        </w:rPr>
        <w:t>GDPR</w:t>
      </w:r>
      <w:r>
        <w:rPr/>
        <w:t>“) a souvisejícími právními předpisy bychom Vás rádi informovali o způsobu, jakým zpracováváme Vaše osobní údaje.</w:t>
      </w:r>
    </w:p>
    <w:p>
      <w:pPr>
        <w:pStyle w:val="Vodorovnrauser"/>
        <w:spacing w:lineRule="auto" w:line="276" w:before="20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1"/>
        </w:numPr>
        <w:spacing w:lineRule="auto" w:line="276"/>
        <w:ind w:hanging="0" w:start="0"/>
        <w:rPr>
          <w:sz w:val="24"/>
          <w:szCs w:val="24"/>
        </w:rPr>
      </w:pPr>
      <w:r>
        <w:rPr>
          <w:sz w:val="24"/>
          <w:szCs w:val="24"/>
        </w:rPr>
        <w:t>1. Správce osobních údajů</w:t>
      </w:r>
    </w:p>
    <w:p>
      <w:pPr>
        <w:pStyle w:val="BodyText"/>
        <w:spacing w:before="200" w:after="120"/>
        <w:rPr/>
      </w:pPr>
      <w:r>
        <w:rPr>
          <w:rStyle w:val="Strong"/>
        </w:rPr>
        <w:t>SAB servis s.r.o.</w:t>
      </w:r>
      <w:r>
        <w:rPr/>
        <w:br/>
        <w:t>IČO: 24704008</w:t>
        <w:br/>
        <w:t>Sídlo: Jungmannova 748/30, 110 00 Praha 1</w:t>
        <w:br/>
        <w:t>Zapsána v obchodním rejstříku vedeném Městským soudem v Praze, sp. zn. C 167216</w:t>
        <w:br/>
        <w:t xml:space="preserve">Web: </w:t>
      </w:r>
      <w:hyperlink r:id="rId2">
        <w:r>
          <w:rPr>
            <w:rStyle w:val="Hyperlink"/>
          </w:rPr>
          <w:t>www.sabservis.cz</w:t>
        </w:r>
      </w:hyperlink>
    </w:p>
    <w:p>
      <w:pPr>
        <w:pStyle w:val="BodyText"/>
        <w:spacing w:before="200" w:after="120"/>
        <w:rPr/>
      </w:pPr>
      <w:r>
        <w:rPr>
          <w:rStyle w:val="Strong"/>
        </w:rPr>
        <w:t>Ve spolupráci s</w:t>
      </w:r>
      <w:r>
        <w:rPr/>
        <w:t>:</w:t>
        <w:br/>
        <w:t>Hypoteční poradce – zprostředkovatel finančních služeb</w:t>
        <w:br/>
        <w:t xml:space="preserve">PhDr. Michal Král, Květná 687/9, 742 35 Odry, Česká republika    IČO: 88297021 </w:t>
      </w:r>
    </w:p>
    <w:p>
      <w:pPr>
        <w:pStyle w:val="Vodorovnrauser"/>
        <w:spacing w:lineRule="auto" w:line="276" w:before="20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1"/>
        </w:numPr>
        <w:spacing w:lineRule="auto" w:line="276"/>
        <w:ind w:hanging="0" w:start="0"/>
        <w:rPr>
          <w:sz w:val="24"/>
          <w:szCs w:val="24"/>
        </w:rPr>
      </w:pPr>
      <w:r>
        <w:rPr>
          <w:sz w:val="24"/>
          <w:szCs w:val="24"/>
        </w:rPr>
        <w:t>2. Účel zpracování osobních údajů</w:t>
      </w:r>
    </w:p>
    <w:p>
      <w:pPr>
        <w:pStyle w:val="BodyText"/>
        <w:spacing w:before="200" w:after="120"/>
        <w:rPr/>
      </w:pPr>
      <w:r>
        <w:rPr/>
        <w:t>Vaše osobní údaje zpracováváme za následujícími účely: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zprostředkování finančních služeb (např. hypotéky, pojištění, investice),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komunikace s klienty a potenciálními klienty,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plnění smluvních a zákonných povinností,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správa klientského portfolia,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ochrana práv a oprávněných zájmů správce (např. prevence podvodů, řešení sporů, interní kontrola),</w:t>
      </w:r>
    </w:p>
    <w:p>
      <w:pPr>
        <w:pStyle w:val="BodyText"/>
        <w:numPr>
          <w:ilvl w:val="0"/>
          <w:numId w:val="2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plnění povinností dle zákona č. 257/2016 Sb., o spotřebitelském úvěru, zákona č. 38/2020 Sb., o distribuci pojištění a zajištění, a dalších relevantních právních předpisů.</w:t>
      </w:r>
    </w:p>
    <w:p>
      <w:pPr>
        <w:pStyle w:val="Vodorovnrauser"/>
        <w:spacing w:lineRule="auto" w:line="276" w:before="20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1"/>
        </w:numPr>
        <w:spacing w:lineRule="auto" w:line="276"/>
        <w:ind w:hanging="0" w:start="0"/>
        <w:rPr>
          <w:sz w:val="24"/>
          <w:szCs w:val="24"/>
        </w:rPr>
      </w:pPr>
      <w:r>
        <w:rPr>
          <w:sz w:val="24"/>
          <w:szCs w:val="24"/>
        </w:rPr>
        <w:t>3. Právní základy zpracování</w:t>
      </w:r>
    </w:p>
    <w:p>
      <w:pPr>
        <w:pStyle w:val="BodyText"/>
        <w:spacing w:before="200" w:after="120"/>
        <w:rPr/>
      </w:pPr>
      <w:r>
        <w:rPr/>
        <w:t>Vaše údaje zpracováváme na základě následujících právních důvodů: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>
          <w:rStyle w:val="Strong"/>
        </w:rPr>
        <w:t>Plnění smlouvy</w:t>
      </w:r>
      <w:r>
        <w:rPr/>
        <w:t xml:space="preserve"> – např. uzavření a plnění smlouvy o zprostředkování,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>
          <w:rStyle w:val="Strong"/>
        </w:rPr>
        <w:t>Plnění právních povinností</w:t>
      </w:r>
      <w:r>
        <w:rPr/>
        <w:t xml:space="preserve"> – např. dle zákonů o ochraně spotřebitele, AML, daňových a účetních předpisů,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>
          <w:rStyle w:val="Strong"/>
        </w:rPr>
        <w:t>Oprávněný zájem správce</w:t>
      </w:r>
      <w:r>
        <w:rPr/>
        <w:t xml:space="preserve"> – např. ochrana právních nároků, přímý marketing (v souladu s platnými zákony),</w:t>
      </w:r>
    </w:p>
    <w:p>
      <w:pPr>
        <w:pStyle w:val="BodyText"/>
        <w:numPr>
          <w:ilvl w:val="0"/>
          <w:numId w:val="3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>
          <w:rStyle w:val="Strong"/>
        </w:rPr>
        <w:t>Souhlas subjektu údajů</w:t>
      </w:r>
      <w:r>
        <w:rPr/>
        <w:t xml:space="preserve"> – v případech, kdy je vyžadován (např. marketingová komunikace v některých formách).</w:t>
      </w:r>
    </w:p>
    <w:p>
      <w:pPr>
        <w:pStyle w:val="Vodorovnrauser"/>
        <w:spacing w:lineRule="auto" w:line="276" w:before="20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1"/>
        </w:numPr>
        <w:spacing w:lineRule="auto" w:line="276"/>
        <w:ind w:hanging="0" w:start="0"/>
        <w:rPr>
          <w:sz w:val="24"/>
          <w:szCs w:val="24"/>
        </w:rPr>
      </w:pPr>
      <w:r>
        <w:rPr>
          <w:sz w:val="24"/>
          <w:szCs w:val="24"/>
        </w:rPr>
        <w:t>4. Kategorie zpracovávaných údajů</w:t>
      </w:r>
    </w:p>
    <w:p>
      <w:pPr>
        <w:pStyle w:val="BodyText"/>
        <w:spacing w:before="200" w:after="120"/>
        <w:rPr/>
      </w:pPr>
      <w:r>
        <w:rPr/>
        <w:t>Zpracováváme pouze nezbytné osobní údaje, a to zejména: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identifikační údaje (jméno, příjmení, datum narození),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kontaktní údaje (telefon, e-mail, adresa),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údaje o finanční situaci, závazcích, příjmech, rodinné situaci apod.,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údaje o sjednaných finančních produktech,</w:t>
      </w:r>
    </w:p>
    <w:p>
      <w:pPr>
        <w:pStyle w:val="BodyText"/>
        <w:numPr>
          <w:ilvl w:val="0"/>
          <w:numId w:val="4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záznamy komunikace (např. e-mailová a telefonická komunikace).</w:t>
      </w:r>
    </w:p>
    <w:p>
      <w:pPr>
        <w:pStyle w:val="Vodorovnrauser"/>
        <w:spacing w:lineRule="auto" w:line="276" w:before="20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1"/>
        </w:numPr>
        <w:spacing w:lineRule="auto" w:line="276"/>
        <w:ind w:hanging="0" w:start="0"/>
        <w:rPr>
          <w:sz w:val="24"/>
          <w:szCs w:val="24"/>
        </w:rPr>
      </w:pPr>
      <w:r>
        <w:rPr>
          <w:sz w:val="24"/>
          <w:szCs w:val="24"/>
        </w:rPr>
        <w:t>5. Příjemci osobních údajů</w:t>
      </w:r>
    </w:p>
    <w:p>
      <w:pPr>
        <w:pStyle w:val="BodyText"/>
        <w:spacing w:before="200" w:after="120"/>
        <w:rPr/>
      </w:pPr>
      <w:r>
        <w:rPr/>
        <w:t>Vaše osobní údaje mohou být předávány těmto kategoriím příjemců: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finanční instituce (banky, pojišťovny, investiční společnosti atd.),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servisní organizace (např. SAB servis s.r.o. jako smluvní partner a technický správce),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právní a daňoví poradci, auditoři,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IT dodavatelé a poskytovatelé softwarových služeb,</w:t>
      </w:r>
    </w:p>
    <w:p>
      <w:pPr>
        <w:pStyle w:val="BodyText"/>
        <w:numPr>
          <w:ilvl w:val="0"/>
          <w:numId w:val="5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orgány veřejné moci (např. ČNB, Finanční úřad) v případech stanovených zákonem.</w:t>
      </w:r>
    </w:p>
    <w:p>
      <w:pPr>
        <w:pStyle w:val="Vodorovnrauser"/>
        <w:spacing w:lineRule="auto" w:line="276" w:before="20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1"/>
        </w:numPr>
        <w:spacing w:lineRule="auto" w:line="276"/>
        <w:ind w:hanging="0" w:start="0"/>
        <w:rPr>
          <w:sz w:val="24"/>
          <w:szCs w:val="24"/>
        </w:rPr>
      </w:pPr>
      <w:r>
        <w:rPr>
          <w:sz w:val="24"/>
          <w:szCs w:val="24"/>
        </w:rPr>
        <w:t>6. Doba uchovávání údajů</w:t>
      </w:r>
    </w:p>
    <w:p>
      <w:pPr>
        <w:pStyle w:val="BodyText"/>
        <w:spacing w:before="200" w:after="120"/>
        <w:rPr/>
      </w:pPr>
      <w:r>
        <w:rPr/>
        <w:t>Osobní údaje uchováváme po dobu nezbytně nutnou k naplnění účelu zpracování, a dále: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po dobu trvání smluvního vztahu,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následně po dobu, kterou vyžadují právní předpisy (např. zákon o archivnictví, daňové a účetní předpisy – obvykle 10 let),</w:t>
      </w:r>
    </w:p>
    <w:p>
      <w:pPr>
        <w:pStyle w:val="BodyText"/>
        <w:numPr>
          <w:ilvl w:val="0"/>
          <w:numId w:val="6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>v případě oprávněného zájmu nejdéle do doby jeho naplnění nebo vznesení námitky.</w:t>
      </w:r>
    </w:p>
    <w:p>
      <w:pPr>
        <w:pStyle w:val="Vodorovnrauser"/>
        <w:spacing w:lineRule="auto" w:line="276" w:before="20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1"/>
          <w:numId w:val="1"/>
        </w:numPr>
        <w:spacing w:lineRule="auto" w:line="276"/>
        <w:ind w:hanging="0" w:start="0"/>
        <w:rPr>
          <w:sz w:val="24"/>
          <w:szCs w:val="24"/>
        </w:rPr>
      </w:pPr>
      <w:r>
        <w:rPr>
          <w:sz w:val="24"/>
          <w:szCs w:val="24"/>
        </w:rPr>
        <w:t>7. Práva subjektu údajů</w:t>
      </w:r>
    </w:p>
    <w:p>
      <w:pPr>
        <w:pStyle w:val="BodyText"/>
        <w:spacing w:before="200" w:after="120"/>
        <w:rPr/>
      </w:pPr>
      <w:r>
        <w:rPr/>
        <w:t>Máte následující práva v souvislosti se zpracováním Vašich osobních údajů: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 xml:space="preserve">právo na </w:t>
      </w:r>
      <w:r>
        <w:rPr>
          <w:rStyle w:val="Strong"/>
        </w:rPr>
        <w:t>přístup</w:t>
      </w:r>
      <w:r>
        <w:rPr/>
        <w:t xml:space="preserve"> ke svým osobním údajům,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 xml:space="preserve">právo na </w:t>
      </w:r>
      <w:r>
        <w:rPr>
          <w:rStyle w:val="Strong"/>
        </w:rPr>
        <w:t>opravu</w:t>
      </w:r>
      <w:r>
        <w:rPr/>
        <w:t xml:space="preserve"> nepřesných nebo neúplných údajů,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 xml:space="preserve">právo na </w:t>
      </w:r>
      <w:r>
        <w:rPr>
          <w:rStyle w:val="Strong"/>
        </w:rPr>
        <w:t>výmaz</w:t>
      </w:r>
      <w:r>
        <w:rPr/>
        <w:t xml:space="preserve"> (tzv. „právo být zapomenut“), pokud již není dán zákonný důvod ke zpracování,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 xml:space="preserve">právo na </w:t>
      </w:r>
      <w:r>
        <w:rPr>
          <w:rStyle w:val="Strong"/>
        </w:rPr>
        <w:t>omezení zpracování</w:t>
      </w:r>
      <w:r>
        <w:rPr/>
        <w:t>,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 xml:space="preserve">právo na </w:t>
      </w:r>
      <w:r>
        <w:rPr>
          <w:rStyle w:val="Strong"/>
        </w:rPr>
        <w:t>přenositelnost údajů</w:t>
      </w:r>
      <w:r>
        <w:rPr/>
        <w:t xml:space="preserve"> k jinému správci,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 xml:space="preserve">právo </w:t>
      </w:r>
      <w:r>
        <w:rPr>
          <w:rStyle w:val="Strong"/>
        </w:rPr>
        <w:t>vznést námitku</w:t>
      </w:r>
      <w:r>
        <w:rPr/>
        <w:t xml:space="preserve"> proti zpracování (zejména z důvodu oprávněného zájmu nebo pro účely přímého marketingu),</w:t>
      </w:r>
    </w:p>
    <w:p>
      <w:pPr>
        <w:pStyle w:val="BodyText"/>
        <w:numPr>
          <w:ilvl w:val="0"/>
          <w:numId w:val="7"/>
        </w:numPr>
        <w:tabs>
          <w:tab w:val="clear" w:pos="709"/>
          <w:tab w:val="left" w:pos="0" w:leader="none"/>
        </w:tabs>
        <w:spacing w:before="200" w:after="120"/>
        <w:ind w:hanging="283" w:start="709"/>
        <w:rPr/>
      </w:pPr>
      <w:r>
        <w:rPr/>
        <w:t xml:space="preserve">právo </w:t>
      </w:r>
      <w:r>
        <w:rPr>
          <w:rStyle w:val="Strong"/>
        </w:rPr>
        <w:t>podat stížnost</w:t>
      </w:r>
      <w:r>
        <w:rPr/>
        <w:t xml:space="preserve"> u dozorového úřadu:</w:t>
        <w:br/>
        <w:t>Úřad pro ochranu osobních údajů (</w:t>
      </w:r>
      <w:hyperlink r:id="rId3">
        <w:r>
          <w:rPr>
            <w:rStyle w:val="Hyperlink"/>
          </w:rPr>
          <w:t>www.uoou.cz</w:t>
        </w:r>
      </w:hyperlink>
      <w:r>
        <w:rPr/>
        <w:t>)</w:t>
      </w:r>
    </w:p>
    <w:p>
      <w:pPr>
        <w:pStyle w:val="BodyText"/>
        <w:spacing w:before="200" w:after="120"/>
        <w:rPr/>
      </w:pPr>
      <w:r>
        <w:rPr/>
      </w:r>
    </w:p>
    <w:p>
      <w:pPr>
        <w:pStyle w:val="Heading2"/>
        <w:numPr>
          <w:ilvl w:val="1"/>
          <w:numId w:val="1"/>
        </w:numPr>
        <w:spacing w:lineRule="auto" w:line="276" w:before="200" w:after="120"/>
        <w:ind w:hanging="0" w:start="0"/>
        <w:rPr>
          <w:sz w:val="24"/>
          <w:szCs w:val="24"/>
        </w:rPr>
      </w:pPr>
      <w:r>
        <w:rPr>
          <w:sz w:val="24"/>
          <w:szCs w:val="24"/>
        </w:rPr>
        <w:t>8. Kontaktní údaje</w:t>
      </w:r>
    </w:p>
    <w:p>
      <w:pPr>
        <w:pStyle w:val="BodyText"/>
        <w:spacing w:before="200" w:after="120"/>
        <w:rPr/>
      </w:pPr>
      <w:r>
        <w:rPr/>
        <w:t>V případě dotazů nebo uplatnění Vašich práv nás neváhejte kontaktovat:</w:t>
      </w:r>
    </w:p>
    <w:p>
      <w:pPr>
        <w:pStyle w:val="BodyText"/>
        <w:spacing w:before="200" w:after="120"/>
        <w:rPr/>
      </w:pPr>
      <w:r>
        <w:rPr/>
        <w:t xml:space="preserve"> </w:t>
      </w:r>
      <w:r>
        <w:rPr>
          <w:rStyle w:val="Strong"/>
        </w:rPr>
        <w:t>E-mail</w:t>
      </w:r>
      <w:r>
        <w:rPr/>
        <w:t xml:space="preserve">: </w:t>
      </w:r>
      <w:hyperlink r:id="rId4">
        <w:r>
          <w:rPr>
            <w:rStyle w:val="Hyperlink"/>
          </w:rPr>
          <w:t>info@hypo</w:t>
        </w:r>
        <w:r>
          <w:rPr>
            <w:rStyle w:val="Hyperlink"/>
          </w:rPr>
          <w:t>flex</w:t>
        </w:r>
        <w:r>
          <w:rPr>
            <w:rStyle w:val="Hyperlink"/>
          </w:rPr>
          <w:t>.cz</w:t>
        </w:r>
      </w:hyperlink>
    </w:p>
    <w:p>
      <w:pPr>
        <w:pStyle w:val="BodyText"/>
        <w:spacing w:before="200" w:after="120"/>
        <w:rPr/>
      </w:pPr>
      <w:r>
        <w:rPr>
          <w:rStyle w:val="Strong"/>
        </w:rPr>
        <w:t>Telefon</w:t>
      </w:r>
      <w:r>
        <w:rPr/>
        <w:t>: +420 735 615 952</w:t>
      </w:r>
    </w:p>
    <w:p>
      <w:pPr>
        <w:pStyle w:val="Vodorovnrauser"/>
        <w:spacing w:lineRule="auto" w:line="276" w:before="200" w:after="1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before="200" w:after="120"/>
        <w:rPr/>
      </w:pPr>
      <w:r>
        <w:rPr>
          <w:rStyle w:val="Emphasis"/>
        </w:rPr>
        <w:t>Aktualizováno k datu: 5. 9. 2025</w:t>
      </w:r>
    </w:p>
    <w:p>
      <w:pPr>
        <w:pStyle w:val="BodyText"/>
        <w:spacing w:before="200" w:after="120"/>
        <w:rPr/>
      </w:pPr>
      <w:r>
        <w:rPr/>
      </w:r>
    </w:p>
    <w:p>
      <w:pPr>
        <w:pStyle w:val="BodyText"/>
        <w:spacing w:before="200" w:after="120"/>
        <w:rPr/>
      </w:pPr>
      <w:r>
        <w:rPr/>
      </w:r>
    </w:p>
    <w:p>
      <w:pPr>
        <w:pStyle w:val="BodyText"/>
        <w:spacing w:before="200" w:after="120"/>
        <w:rPr/>
      </w:pPr>
      <w:r>
        <w:rPr/>
      </w:r>
    </w:p>
    <w:p>
      <w:pPr>
        <w:pStyle w:val="BodyText"/>
        <w:bidi w:val="0"/>
        <w:spacing w:before="200" w:after="120"/>
        <w:ind w:hanging="0" w:start="0"/>
        <w:jc w:val="start"/>
        <w:rPr/>
      </w:pPr>
      <w:r>
        <w:rPr/>
      </w:r>
    </w:p>
    <w:p>
      <w:pPr>
        <w:pStyle w:val="BodyText"/>
        <w:bidi w:val="0"/>
        <w:spacing w:before="200" w:after="120"/>
        <w:ind w:hanging="0" w:start="0"/>
        <w:jc w:val="star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OpenSymbol">
    <w:altName w:val="Arial Unicode MS"/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09"/>
        </w:tabs>
        <w:ind w:star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start"/>
      <w:pPr>
        <w:tabs>
          <w:tab w:val="num" w:pos="1418"/>
        </w:tabs>
        <w:ind w:star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start"/>
      <w:pPr>
        <w:tabs>
          <w:tab w:val="num" w:pos="2127"/>
        </w:tabs>
        <w:ind w:star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start"/>
      <w:pPr>
        <w:tabs>
          <w:tab w:val="num" w:pos="2836"/>
        </w:tabs>
        <w:ind w:star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start"/>
      <w:pPr>
        <w:tabs>
          <w:tab w:val="num" w:pos="3545"/>
        </w:tabs>
        <w:ind w:star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start"/>
      <w:pPr>
        <w:tabs>
          <w:tab w:val="num" w:pos="4254"/>
        </w:tabs>
        <w:ind w:star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start"/>
      <w:pPr>
        <w:tabs>
          <w:tab w:val="num" w:pos="4963"/>
        </w:tabs>
        <w:ind w:star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start"/>
      <w:pPr>
        <w:tabs>
          <w:tab w:val="num" w:pos="5672"/>
        </w:tabs>
        <w:ind w:star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start"/>
      <w:pPr>
        <w:tabs>
          <w:tab w:val="num" w:pos="6381"/>
        </w:tabs>
        <w:ind w:start="6381" w:hanging="283"/>
      </w:pPr>
      <w:rPr>
        <w:rFonts w:ascii="Symbol" w:hAnsi="Symbol" w:cs="Symbol" w:hint="default"/>
      </w:rPr>
    </w:lvl>
  </w:abstractNum>
  <w:abstractNum w:abstractNumId="8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88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cs-CZ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cs-CZ" w:eastAsia="zh-CN" w:bidi="hi-IN"/>
    </w:rPr>
  </w:style>
  <w:style w:type="paragraph" w:styleId="Heading1">
    <w:name w:val="heading 1"/>
    <w:basedOn w:val="Nadpisuser"/>
    <w:next w:val="BodyText"/>
    <w:qFormat/>
    <w:pPr>
      <w:spacing w:before="240" w:after="120"/>
      <w:outlineLvl w:val="0"/>
    </w:pPr>
    <w:rPr>
      <w:rFonts w:ascii="Liberation Serif" w:hAnsi="Liberation Serif" w:eastAsia="NSimSun" w:cs="Arial"/>
      <w:b/>
      <w:bCs/>
      <w:sz w:val="48"/>
      <w:szCs w:val="48"/>
    </w:rPr>
  </w:style>
  <w:style w:type="paragraph" w:styleId="Heading2">
    <w:name w:val="heading 2"/>
    <w:basedOn w:val="Nadpis"/>
    <w:next w:val="BodyText"/>
    <w:qFormat/>
    <w:pPr>
      <w:numPr>
        <w:ilvl w:val="1"/>
        <w:numId w:val="1"/>
      </w:numPr>
      <w:spacing w:before="200" w:after="120"/>
      <w:outlineLvl w:val="1"/>
    </w:pPr>
    <w:rPr>
      <w:rFonts w:ascii="Liberation Serif" w:hAnsi="Liberation Serif" w:eastAsia="NSimSun" w:cs="Arial"/>
      <w:b/>
      <w:bCs/>
      <w:sz w:val="36"/>
      <w:szCs w:val="36"/>
    </w:rPr>
  </w:style>
  <w:style w:type="paragraph" w:styleId="Heading3">
    <w:name w:val="heading 3"/>
    <w:basedOn w:val="Nadpis"/>
    <w:next w:val="BodyText"/>
    <w:qFormat/>
    <w:pPr>
      <w:numPr>
        <w:ilvl w:val="2"/>
        <w:numId w:val="1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Odrkyuser">
    <w:name w:val="Odrážky (user)"/>
    <w:qFormat/>
    <w:rPr>
      <w:rFonts w:ascii="OpenSymbol" w:hAnsi="OpenSymbol" w:eastAsia="OpenSymbol" w:cs="OpenSymbol"/>
    </w:rPr>
  </w:style>
  <w:style w:type="character" w:styleId="Emphasis">
    <w:name w:val="Emphasis"/>
    <w:qFormat/>
    <w:rPr>
      <w:i/>
      <w:iCs/>
    </w:rPr>
  </w:style>
  <w:style w:type="paragraph" w:styleId="Nadpis">
    <w:name w:val="Nadpis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Nadpisuser">
    <w:name w:val="Nadpis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Rejstkuser">
    <w:name w:val="Rejstřík (user)"/>
    <w:basedOn w:val="Normal"/>
    <w:qFormat/>
    <w:pPr>
      <w:suppressLineNumbers/>
    </w:pPr>
    <w:rPr>
      <w:rFonts w:cs="Arial"/>
    </w:rPr>
  </w:style>
  <w:style w:type="paragraph" w:styleId="Vodorovnrauser">
    <w:name w:val="Vodorovná čára (user)"/>
    <w:basedOn w:val="Normal"/>
    <w:next w:val="BodyText"/>
    <w:qFormat/>
    <w:pPr>
      <w:suppressLineNumbers/>
      <w:pBdr>
        <w:bottom w:val="double" w:sz="2" w:space="0" w:color="808080"/>
      </w:pBdr>
      <w:spacing w:before="0" w:after="283"/>
    </w:pPr>
    <w:rPr>
      <w:sz w:val="12"/>
      <w:szCs w:val="1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sabservis.cz/" TargetMode="External"/><Relationship Id="rId3" Type="http://schemas.openxmlformats.org/officeDocument/2006/relationships/hyperlink" Target="http://www.uoou.cz/" TargetMode="External"/><Relationship Id="rId4" Type="http://schemas.openxmlformats.org/officeDocument/2006/relationships/hyperlink" Target="mailto:info@hypopartners.cz" TargetMode="Externa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</TotalTime>
  <Application>LibreOffice/25.8.2.2$Windows_X86_64 LibreOffice_project/d401f2107ccab8f924a8e2df40f573aab7605b6f</Application>
  <AppVersion>15.0000</AppVersion>
  <Pages>3</Pages>
  <Words>509</Words>
  <Characters>3040</Characters>
  <CharactersWithSpaces>3478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2025-09-05T15:46:05Z</dcterms:created>
  <dc:creator/>
  <dc:description/>
  <dc:language>cs-CZ</dc:language>
  <cp:lastModifiedBy/>
  <dcterms:modified xsi:type="dcterms:W3CDTF">2025-10-30T12:00:35Z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